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spacing w:after="0" w:line="240" w:lineRule="auto"/>
        <w:rPr>
          <w:rFonts w:ascii="PT Astra Serif" w:hAnsi="PT Astra Serif" w:cs="Arial"/>
          <w:b/>
          <w:sz w:val="24"/>
          <w:szCs w:val="24"/>
        </w:rPr>
      </w:pPr>
      <w:r>
        <w:rPr>
          <w:rFonts w:ascii="PT Astra Serif" w:hAnsi="PT Astra Serif" w:cs="Arial"/>
          <w:b/>
          <w:sz w:val="24"/>
          <w:szCs w:val="24"/>
        </w:rPr>
      </w:r>
      <w:r/>
    </w:p>
    <w:p>
      <w:pPr>
        <w:jc w:val="center"/>
        <w:rPr>
          <w:rFonts w:ascii="PT Astra Serif" w:hAnsi="PT Astra Serif" w:eastAsia="Calibri" w:cs="Times New Roman"/>
          <w:b/>
          <w:sz w:val="24"/>
          <w:szCs w:val="24"/>
        </w:rPr>
      </w:pPr>
      <w:r>
        <w:rPr>
          <w:rFonts w:ascii="PT Astra Serif" w:hAnsi="PT Astra Serif" w:eastAsia="Calibri" w:cs="Times New Roman"/>
          <w:b/>
          <w:sz w:val="24"/>
          <w:szCs w:val="24"/>
        </w:rPr>
        <w:t xml:space="preserve">Объявление </w:t>
      </w:r>
      <w:r>
        <w:rPr>
          <w:rFonts w:ascii="PT Astra Serif" w:hAnsi="PT Astra Serif" w:eastAsia="Calibri" w:cs="Times New Roman"/>
          <w:b/>
          <w:sz w:val="24"/>
          <w:szCs w:val="24"/>
        </w:rPr>
        <w:t xml:space="preserve">о проведении конкурсного отбора на получение субсидии из бюджета муниципального образования город Салехард социально-ориентированным некоммерческим организациям в сфере физической культуры и спорта </w:t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Calibri" w:cs="Times New Roman"/>
          <w:sz w:val="24"/>
          <w:szCs w:val="24"/>
        </w:rPr>
      </w:pPr>
      <w:r>
        <w:rPr>
          <w:rFonts w:ascii="PT Astra Serif" w:hAnsi="PT Astra Serif" w:eastAsia="Calibri" w:cs="Times New Roman"/>
          <w:sz w:val="24"/>
          <w:szCs w:val="24"/>
        </w:rPr>
        <w:t xml:space="preserve">Субсидия пр</w:t>
      </w:r>
      <w:r>
        <w:rPr>
          <w:rFonts w:ascii="PT Astra Serif" w:hAnsi="PT Astra Serif" w:eastAsia="Calibri" w:cs="Times New Roman"/>
          <w:sz w:val="24"/>
          <w:szCs w:val="24"/>
        </w:rPr>
        <w:t xml:space="preserve">едоставляется в соответствии с Порядком предоставления субсидий из бюджета муниципального образования город Салехард социально ориентированным некоммерческим организациям в сфере физической культуры и спорта, утвержденным постановлением Администрации город</w:t>
      </w:r>
      <w:r>
        <w:rPr>
          <w:rFonts w:ascii="PT Astra Serif" w:hAnsi="PT Astra Serif" w:eastAsia="Calibri" w:cs="Times New Roman"/>
          <w:sz w:val="24"/>
          <w:szCs w:val="24"/>
        </w:rPr>
        <w:t xml:space="preserve">а</w:t>
      </w:r>
      <w:r>
        <w:rPr>
          <w:rFonts w:ascii="PT Astra Serif" w:hAnsi="PT Astra Serif" w:eastAsia="Calibri" w:cs="Times New Roman"/>
          <w:sz w:val="24"/>
          <w:szCs w:val="24"/>
        </w:rPr>
        <w:t xml:space="preserve"> Салехард</w:t>
      </w:r>
      <w:r>
        <w:rPr>
          <w:rFonts w:ascii="PT Astra Serif" w:hAnsi="PT Astra Serif" w:eastAsia="Calibri" w:cs="Times New Roman"/>
          <w:sz w:val="24"/>
          <w:szCs w:val="24"/>
        </w:rPr>
        <w:t xml:space="preserve">а</w:t>
      </w:r>
      <w:r>
        <w:rPr>
          <w:rFonts w:ascii="PT Astra Serif" w:hAnsi="PT Astra Serif" w:eastAsia="Calibri" w:cs="Times New Roman"/>
          <w:sz w:val="24"/>
          <w:szCs w:val="24"/>
        </w:rPr>
        <w:t xml:space="preserve"> от 30</w:t>
      </w:r>
      <w:r>
        <w:rPr>
          <w:rFonts w:ascii="PT Astra Serif" w:hAnsi="PT Astra Serif" w:eastAsia="Calibri" w:cs="Times New Roman"/>
          <w:sz w:val="24"/>
          <w:szCs w:val="24"/>
        </w:rPr>
        <w:t xml:space="preserve"> апреля </w:t>
      </w:r>
      <w:r>
        <w:rPr>
          <w:rFonts w:ascii="PT Astra Serif" w:hAnsi="PT Astra Serif" w:eastAsia="Calibri" w:cs="Times New Roman"/>
          <w:sz w:val="24"/>
          <w:szCs w:val="24"/>
        </w:rPr>
        <w:t xml:space="preserve">2021</w:t>
      </w:r>
      <w:r>
        <w:rPr>
          <w:rFonts w:ascii="PT Astra Serif" w:hAnsi="PT Astra Serif" w:eastAsia="Calibri" w:cs="Times New Roman"/>
          <w:sz w:val="24"/>
          <w:szCs w:val="24"/>
        </w:rPr>
        <w:t xml:space="preserve"> года</w:t>
      </w:r>
      <w:r>
        <w:rPr>
          <w:rFonts w:ascii="PT Astra Serif" w:hAnsi="PT Astra Serif" w:eastAsia="Calibri" w:cs="Times New Roman"/>
          <w:sz w:val="24"/>
          <w:szCs w:val="24"/>
        </w:rPr>
        <w:t xml:space="preserve"> </w:t>
      </w:r>
      <w:r>
        <w:rPr>
          <w:rFonts w:ascii="PT Astra Serif" w:hAnsi="PT Astra Serif" w:eastAsia="Calibri" w:cs="Times New Roman"/>
          <w:sz w:val="24"/>
          <w:szCs w:val="24"/>
        </w:rPr>
        <w:t xml:space="preserve">№ </w:t>
      </w:r>
      <w:r>
        <w:rPr>
          <w:rFonts w:ascii="PT Astra Serif" w:hAnsi="PT Astra Serif" w:eastAsia="Calibri" w:cs="Times New Roman"/>
          <w:sz w:val="24"/>
          <w:szCs w:val="24"/>
        </w:rPr>
        <w:t xml:space="preserve">1263</w:t>
      </w:r>
      <w:r>
        <w:rPr>
          <w:rFonts w:ascii="PT Astra Serif" w:hAnsi="PT Astra Serif" w:eastAsia="Calibri" w:cs="Times New Roman"/>
          <w:sz w:val="24"/>
          <w:szCs w:val="24"/>
        </w:rPr>
        <w:t xml:space="preserve"> (далее – Порядок). Порядок </w:t>
      </w:r>
      <w:r>
        <w:rPr>
          <w:rFonts w:ascii="PT Astra Serif" w:hAnsi="PT Astra Serif" w:eastAsia="Calibri" w:cs="Times New Roman"/>
          <w:sz w:val="24"/>
          <w:szCs w:val="24"/>
        </w:rPr>
        <w:t xml:space="preserve"> размещен на официальном сайте управления по физической культуре и спорту Администрации </w:t>
      </w:r>
      <w:r>
        <w:rPr>
          <w:rFonts w:ascii="PT Astra Serif" w:hAnsi="PT Astra Serif" w:eastAsia="Calibri" w:cs="Times New Roman"/>
          <w:sz w:val="24"/>
          <w:szCs w:val="24"/>
        </w:rPr>
        <w:t xml:space="preserve">города Салехарда www.salekhardsport.ru в подразделе «</w:t>
      </w:r>
      <w:r>
        <w:rPr>
          <w:rFonts w:ascii="PT Astra Serif" w:hAnsi="PT Astra Serif" w:eastAsia="Calibri" w:cs="Times New Roman"/>
          <w:sz w:val="24"/>
          <w:szCs w:val="24"/>
        </w:rPr>
        <w:t xml:space="preserve">СОНКО</w:t>
      </w:r>
      <w:r>
        <w:rPr>
          <w:rFonts w:ascii="PT Astra Serif" w:hAnsi="PT Astra Serif" w:eastAsia="Calibri" w:cs="Times New Roman"/>
          <w:sz w:val="24"/>
          <w:szCs w:val="24"/>
        </w:rPr>
        <w:t xml:space="preserve">» раздела «</w:t>
      </w:r>
      <w:r>
        <w:rPr>
          <w:rFonts w:ascii="PT Astra Serif" w:hAnsi="PT Astra Serif" w:eastAsia="Calibri" w:cs="Times New Roman"/>
          <w:sz w:val="24"/>
          <w:szCs w:val="24"/>
        </w:rPr>
        <w:t xml:space="preserve">Управление</w:t>
      </w:r>
      <w:r>
        <w:rPr>
          <w:rFonts w:ascii="PT Astra Serif" w:hAnsi="PT Astra Serif" w:eastAsia="Calibri" w:cs="Times New Roman"/>
          <w:sz w:val="24"/>
          <w:szCs w:val="24"/>
        </w:rPr>
        <w:t xml:space="preserve">».</w:t>
      </w:r>
      <w:r>
        <w:rPr>
          <w:rFonts w:ascii="PT Astra Serif" w:hAnsi="PT Astra Serif" w:eastAsia="Calibri" w:cs="Times New Roman"/>
          <w:sz w:val="24"/>
          <w:szCs w:val="24"/>
        </w:rPr>
        <w:t xml:space="preserve"> </w:t>
      </w:r>
      <w:r/>
    </w:p>
    <w:p>
      <w:pPr>
        <w:pStyle w:val="843"/>
        <w:numPr>
          <w:ilvl w:val="0"/>
          <w:numId w:val="13"/>
        </w:numPr>
        <w:ind w:left="0" w:right="0" w:firstLine="709"/>
        <w:jc w:val="both"/>
        <w:spacing w:after="0" w:line="240" w:lineRule="auto"/>
        <w:tabs>
          <w:tab w:val="left" w:pos="993" w:leader="none"/>
        </w:tabs>
        <w:rPr>
          <w:rFonts w:ascii="Calibri" w:hAnsi="Calibri" w:eastAsia="Calibri" w:cs="Times New Roman"/>
          <w:b w:val="0"/>
          <w:bCs w:val="0"/>
        </w:rPr>
      </w:pP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Срок начала приема заявок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 – 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08 сентября 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2023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 года</w:t>
      </w:r>
      <w:r>
        <w:rPr>
          <w:b w:val="0"/>
          <w:bCs w:val="0"/>
        </w:rPr>
      </w:r>
    </w:p>
    <w:p>
      <w:pPr>
        <w:ind w:left="0" w:right="0"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Срок окончания приема заявок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 -  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09 октября 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2023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 года</w:t>
      </w:r>
      <w:r>
        <w:rPr>
          <w:b w:val="0"/>
          <w:bCs w:val="0"/>
        </w:rPr>
      </w:r>
    </w:p>
    <w:p>
      <w:pPr>
        <w:ind w:left="0" w:right="0"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highlight w:val="none"/>
          <w:lang w:bidi="ru-RU"/>
        </w:rPr>
        <w:t xml:space="preserve">Срок проведения конкурсного отбора: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highlight w:val="none"/>
          <w:lang w:bidi="ru-RU"/>
        </w:rPr>
      </w:r>
    </w:p>
    <w:p>
      <w:pPr>
        <w:pStyle w:val="843"/>
        <w:numPr>
          <w:ilvl w:val="0"/>
          <w:numId w:val="14"/>
        </w:numPr>
        <w:ind w:left="0" w:right="0"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highlight w:val="none"/>
          <w:lang w:bidi="ru-RU"/>
        </w:rPr>
        <w:t xml:space="preserve">рассмотрение заявок участников конкурсного отбора на предмет соответствия требованиям Порядка – в течение 5 календарных дней с даты окончания срока приема заявок;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highlight w:val="none"/>
          <w:lang w:bidi="ru-RU"/>
        </w:rPr>
      </w:r>
    </w:p>
    <w:p>
      <w:pPr>
        <w:pStyle w:val="843"/>
        <w:numPr>
          <w:ilvl w:val="0"/>
          <w:numId w:val="14"/>
        </w:numPr>
        <w:ind w:left="0" w:right="0"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highlight w:val="none"/>
          <w:lang w:bidi="ru-RU"/>
        </w:rPr>
        <w:t xml:space="preserve">оценка заявок допущенных к участию в конкурсном отборе по критериям, установленным Порядком – в течение 10 календарных дней с даты приема заявок.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highlight w:val="none"/>
          <w:lang w:bidi="ru-RU"/>
        </w:rPr>
      </w:r>
    </w:p>
    <w:p>
      <w:pPr>
        <w:pStyle w:val="843"/>
        <w:contextualSpacing w:val="0"/>
        <w:ind w:left="0" w:right="0" w:firstLine="709"/>
        <w:jc w:val="both"/>
        <w:spacing w:after="0" w:line="240" w:lineRule="auto"/>
        <w:tabs>
          <w:tab w:val="left" w:pos="993" w:leader="none"/>
        </w:tabs>
        <w:rPr>
          <w:rFonts w:ascii="Calibri" w:hAnsi="Calibri" w:eastAsia="Calibri" w:cs="Times New Roman"/>
          <w:b w:val="0"/>
          <w:bCs w:val="0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2.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Организатор конкурса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– управление по физической культуре и спорту Администрации муниципального образования город Салехард </w:t>
      </w:r>
      <w:r>
        <w:rPr>
          <w:rFonts w:ascii="Calibri" w:hAnsi="Calibri" w:eastAsia="Calibri" w:cs="Times New Roman"/>
          <w:b w:val="0"/>
          <w:bCs w:val="0"/>
        </w:rPr>
      </w:r>
      <w:r>
        <w:rPr>
          <w:b w:val="0"/>
          <w:bCs w:val="0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ab/>
        <w:t xml:space="preserve">Место нахождения, почтовый адрес, адрес электронной почты организатора конкурса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 629008, Ямало-Ненецкий автономный округ, г. Салехард, ул. 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Комсомольская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, д. 16 Г.,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                            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 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val="en-US" w:bidi="ru-RU"/>
        </w:rPr>
        <w:t xml:space="preserve">email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- </w:t>
      </w:r>
      <w:hyperlink r:id="rId9" w:tooltip="mailto:sport@slh.yanao.ru" w:history="1">
        <w:r>
          <w:rPr>
            <w:rStyle w:val="842"/>
            <w:rFonts w:ascii="PT Astra Serif" w:hAnsi="PT Astra Serif" w:eastAsia="Times New Roman" w:cs="Times New Roman"/>
            <w:b w:val="0"/>
            <w:bCs w:val="0"/>
            <w:sz w:val="24"/>
            <w:szCs w:val="24"/>
            <w:lang w:bidi="ru-RU"/>
          </w:rPr>
          <w:t xml:space="preserve">sport@slh.yanao.ru</w:t>
        </w:r>
      </w:hyperlink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.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 </w:t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Режим работы: понедельник - пятница - с 8.30 до 18.00 часов; перерыв на обед - с 12.30 до 14.00 часов; выходные дни - суббота, воскресенье, праздничные дни.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 В день, предшествующий нерабочему праздничному дню, установленному </w:t>
      </w:r>
      <w:hyperlink r:id="rId10" w:tooltip="consultantplus://offline/ref=7E085B64A7FB8FC3EE1DD8CFD74B2765F17C33C29439D51D7148217730DD6B7A3845CF3A05C07155AEJ7G" w:history="1">
        <w:r>
          <w:rPr>
            <w:rStyle w:val="842"/>
            <w:rFonts w:ascii="PT Astra Serif" w:hAnsi="PT Astra Serif" w:eastAsia="Times New Roman" w:cs="Times New Roman"/>
            <w:b w:val="0"/>
            <w:bCs w:val="0"/>
            <w:color w:val="auto"/>
            <w:sz w:val="24"/>
            <w:szCs w:val="24"/>
            <w:u w:val="none"/>
            <w:lang w:bidi="ru-RU"/>
          </w:rPr>
          <w:t xml:space="preserve">статьей 112</w:t>
        </w:r>
      </w:hyperlink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 Трудового кодекса Российской Федерации, график работы изменяется - продолжительность рабочего дня уменьшается на один час.</w:t>
      </w:r>
      <w:r>
        <w:rPr>
          <w:b w:val="0"/>
          <w:bCs w:val="0"/>
        </w:rPr>
      </w:r>
    </w:p>
    <w:p>
      <w:pPr>
        <w:ind w:left="0" w:right="0"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3. Цель предоставления субсидии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-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достижение показателей реализации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муниципальной программы муниципального образования город Салехард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«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Развитие физической культуры и спорта на 2022 - 2026 годы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», утвержденной п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остановление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м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Администрации город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а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Салехард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а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от 19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августа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2022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года №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2225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ab/>
        <w:t xml:space="preserve">Результатом предоставления субсидии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 является проведение мероприяти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я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 по пропаганде физической культуры, спорта и здорового образа жизни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 - организация и проведение торжественной церемонии награждения лауреатов конкурса «Спортивная элита Салехарда»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Arial"/>
          <w:b w:val="0"/>
          <w:bCs w:val="0"/>
          <w:sz w:val="24"/>
          <w:szCs w:val="24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Значения показателей, необходимых для достижения результата предоставления субсидии:</w:t>
      </w:r>
      <w:r>
        <w:rPr>
          <w:b w:val="0"/>
          <w:bCs w:val="0"/>
        </w:rPr>
      </w:r>
    </w:p>
    <w:p>
      <w:pPr>
        <w:pStyle w:val="843"/>
        <w:numPr>
          <w:ilvl w:val="0"/>
          <w:numId w:val="12"/>
        </w:numPr>
        <w:ind w:left="0" w:right="0" w:firstLine="709"/>
        <w:spacing w:before="0" w:after="0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удовлетворенность участников мероприятия, проведенного некоммерческой организацией в рамках реализации субсидии - не менее 60%;</w:t>
      </w:r>
      <w:r>
        <w:rPr>
          <w:b w:val="0"/>
          <w:bCs w:val="0"/>
        </w:rPr>
      </w:r>
    </w:p>
    <w:p>
      <w:pPr>
        <w:pStyle w:val="843"/>
        <w:numPr>
          <w:ilvl w:val="0"/>
          <w:numId w:val="12"/>
        </w:numPr>
        <w:ind w:left="0" w:right="0" w:firstLine="709"/>
        <w:spacing w:before="0" w:after="0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количество публикаций о мероприятии, проведенном некоммерческой организацией в рамках реализации субсидии, в средствах массовой информации, в информационно-телекоммуникационной сети «Интернет» - не менее 6.</w:t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Arial"/>
          <w:b w:val="0"/>
          <w:bCs w:val="0"/>
          <w:sz w:val="24"/>
          <w:szCs w:val="24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В целях установления удовлетворенности участников мероприятия качеством проведения мероприятия получателем субсидии проводится анкетирование.</w:t>
      </w:r>
      <w:r>
        <w:rPr>
          <w:b w:val="0"/>
          <w:bCs w:val="0"/>
        </w:rPr>
      </w:r>
    </w:p>
    <w:p>
      <w:pPr>
        <w:ind w:left="709" w:firstLine="0"/>
        <w:jc w:val="both"/>
        <w:spacing w:after="0" w:line="240" w:lineRule="auto"/>
        <w:tabs>
          <w:tab w:val="left" w:pos="1134" w:leader="none"/>
        </w:tabs>
        <w:rPr>
          <w:rFonts w:ascii="PT Astra Serif" w:hAnsi="PT Astra Serif" w:cs="Arial"/>
          <w:b w:val="0"/>
          <w:bCs w:val="0"/>
          <w:sz w:val="24"/>
          <w:szCs w:val="24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4. Размер субсидии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 составляет 492 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000 (четыреста 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девяносто две тысячи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) рублей 00 копеек.</w:t>
      </w:r>
      <w:r>
        <w:rPr>
          <w:b w:val="0"/>
          <w:bCs w:val="0"/>
        </w:rPr>
      </w:r>
    </w:p>
    <w:p>
      <w:pPr>
        <w:ind w:left="709" w:firstLine="0"/>
        <w:jc w:val="both"/>
        <w:spacing w:after="0" w:line="240" w:lineRule="auto"/>
        <w:tabs>
          <w:tab w:val="left" w:pos="1134" w:leader="none"/>
        </w:tabs>
        <w:rPr>
          <w:rFonts w:ascii="PT Astra Serif" w:hAnsi="PT Astra Serif" w:cs="Arial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5. С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айт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в информационно-телекоммуникационной сети «Интернет», на котором обеспечивается проведение конкурсного отбора - </w:t>
      </w:r>
      <w:hyperlink r:id="rId11" w:tooltip="http://www.salekhardsport.ru/" w:history="1">
        <w:r>
          <w:rPr>
            <w:rStyle w:val="842"/>
            <w:rFonts w:ascii="PT Astra Serif" w:hAnsi="PT Astra Serif" w:eastAsia="Calibri" w:cs="Times New Roman"/>
            <w:b w:val="0"/>
            <w:bCs w:val="0"/>
            <w:sz w:val="24"/>
            <w:szCs w:val="24"/>
          </w:rPr>
          <w:t xml:space="preserve">http://www.salekhardsport.ru/</w:t>
        </w:r>
      </w:hyperlink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6. Категории получателей субсидии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- некоммерческие организации, зарегистрированные в установленном федеральным законом порядке и осуществляющие на территории муниципального образования город Салехард в соответствии с учредительными документами виды деятельности, предусмотренные </w:t>
      </w:r>
      <w:hyperlink r:id="rId12" w:tooltip="consultantplus://offline/ref=DE269527A231BFAE24F150CB0C13AA4D1B755EB54E0E10D4B031739735FC339313383D5B27586CFB703C2C6B5A3789C9CEABE809FDnDZAG" w:history="1">
        <w:r>
          <w:rPr>
            <w:rStyle w:val="842"/>
            <w:rFonts w:ascii="PT Astra Serif" w:hAnsi="PT Astra Serif" w:eastAsia="Calibri" w:cs="Times New Roman"/>
            <w:b w:val="0"/>
            <w:bCs w:val="0"/>
            <w:color w:val="auto"/>
            <w:sz w:val="24"/>
            <w:szCs w:val="24"/>
            <w:u w:val="none"/>
          </w:rPr>
          <w:t xml:space="preserve">статьей 31.1</w:t>
        </w:r>
      </w:hyperlink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Федерального закона от 12 января 1996 года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          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№ 7-ФЗ «О некоммерческих организациях».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  <w:spacing w:before="0" w:beforeAutospacing="0" w:after="0" w:line="240" w:lineRule="auto"/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7. Требования к участникам конкурсного отбора, 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которым должен соответствовать участник на 1-е число месяца, предшествующего месяцу, в котором планируется проведение конкурсного отбора:</w:t>
      </w:r>
      <w:r>
        <w:rPr>
          <w:b w:val="0"/>
          <w:bCs w:val="0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- у участника конкурсного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>
        <w:rPr>
          <w:b w:val="0"/>
          <w:bCs w:val="0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- у участника конкурсного отбора должна отсутствовать просроченная задолженность по возврату в городской бюджет муниципального образования город Салехард субсидий, бюджетных инвестиций, предоставленных, в том числе в соответствии с иными правовыми актами,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а также иная просроченная (неурегулированная) задолженность по денежным обязательствам перед муниципальным образованием город Салехард;</w:t>
      </w:r>
      <w:r>
        <w:rPr>
          <w:b w:val="0"/>
          <w:bCs w:val="0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- участники конкурсного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в от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ношении них не введена процедура банкротства, деятельность участника конкурсного отбора не приостановлена в порядке, предусмотренном законодательством Российской Федерации;</w:t>
      </w:r>
      <w:r>
        <w:rPr>
          <w:b w:val="0"/>
          <w:bCs w:val="0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конкурсного отбора,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являющегося юридическим лицом;</w:t>
      </w:r>
      <w:r>
        <w:rPr>
          <w:b w:val="0"/>
          <w:bCs w:val="0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- участники конкурсного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иторий, используемых для промежуточного (офшорного) владения активами в Российской Федерации,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купности превышает 25 процентов;</w:t>
      </w:r>
      <w:r>
        <w:rPr>
          <w:b w:val="0"/>
          <w:bCs w:val="0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- участники конкурсного отбора не должны получать средства из бюджета муниципального образования город Салехард на основании иных муниципальных правовых актов на цели, установленные Порядком.</w:t>
      </w:r>
      <w:r>
        <w:rPr>
          <w:b w:val="0"/>
          <w:bCs w:val="0"/>
        </w:rPr>
      </w:r>
    </w:p>
    <w:p>
      <w:pPr>
        <w:ind w:left="720" w:firstLine="0"/>
        <w:jc w:val="both"/>
        <w:spacing w:after="0" w:line="240" w:lineRule="auto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8. Перечень документов, представляемых участниками конкурсного отбора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для подтверждения их соответствия указанным требованиям:</w:t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-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 </w:t>
      </w:r>
      <w:hyperlink r:id="rId13" w:tooltip="consultantplus://offline/ref=737E2AEE3CDA425E2003DC91895F4CA1EFC7F4435B2EF84B1017581681CE9D030BF3370668BF0AF99C22A94B87AA5DF20F591FFD2E85CE7505174EA9MAqFE" w:history="1">
        <w:r>
          <w:rPr>
            <w:rStyle w:val="842"/>
            <w:rFonts w:ascii="PT Astra Serif" w:hAnsi="PT Astra Serif" w:eastAsia="Calibri" w:cs="Times New Roman"/>
            <w:b w:val="0"/>
            <w:bCs w:val="0"/>
            <w:color w:val="auto"/>
            <w:sz w:val="24"/>
            <w:szCs w:val="24"/>
            <w:u w:val="none"/>
          </w:rPr>
          <w:t xml:space="preserve">программа</w:t>
        </w:r>
      </w:hyperlink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реализации мероприятий по форме согласно приложению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№2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к настоящему объявлению;</w:t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- смета расходов на реализацию программы;</w:t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- копия учредительного документа (со всеми внесенными изменениями);</w:t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- копия свидетельства о государственной регистрации в качестве юридического лица;</w:t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- копия свидетельства о постановке на учет в налоговом органе;</w:t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tabs>
          <w:tab w:val="left" w:pos="709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-копия документа, подтверждающего полномочия руководителя либо лица, уполномоченного действовать от имени организации, а также главного бухгалтера либо лица, осуществляющего ведение бухгалтерского учета в данной организации;</w:t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- опись документов, содержащая наименование всех представляемых документов.</w:t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Указанные документы должны быть сброшюрованы в одну или несколько папок и пронумерованы.</w:t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Участник конкурсного отбора вправе представить по собственной инициативе справку налогового органа об отсутствии у социально ориентированной некоммерческой организации неисполненной обязанности по уплате н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и выписку из Единого государственного реестра юридических лиц, либо ее нотариально заверенную копию.</w:t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Если представленные участником конкурсного отбора документы содержат персональные данные, к пакету документов должны быть приложены согласия субъектов этих данных на их обработку в соответствии со </w:t>
      </w:r>
      <w:hyperlink r:id="rId14" w:tooltip="consultantplus://offline/ref=737E2AEE3CDA425E2003C29C9F331BACEAC4A34F5329FA1B4C4A5E41DE9E9B564BB331532BFB05FF9429FF18C6F404A24E1213FC3599CF77M1qAE" w:history="1">
        <w:r>
          <w:rPr>
            <w:rStyle w:val="842"/>
            <w:rFonts w:ascii="PT Astra Serif" w:hAnsi="PT Astra Serif" w:eastAsia="Calibri" w:cs="Times New Roman"/>
            <w:b w:val="0"/>
            <w:bCs w:val="0"/>
            <w:color w:val="auto"/>
            <w:sz w:val="24"/>
            <w:szCs w:val="24"/>
            <w:u w:val="none"/>
          </w:rPr>
          <w:t xml:space="preserve">статьей 9</w:t>
        </w:r>
      </w:hyperlink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Федерального закона от 27 июля 2006 года № 152-ФЗ «О персональных данных».</w:t>
      </w:r>
      <w:r>
        <w:rPr>
          <w:b w:val="0"/>
          <w:bCs w:val="0"/>
        </w:rPr>
      </w:r>
    </w:p>
    <w:p>
      <w:pPr>
        <w:jc w:val="both"/>
        <w:spacing w:after="0" w:line="240" w:lineRule="auto"/>
        <w:tabs>
          <w:tab w:val="left" w:pos="0" w:leader="none"/>
          <w:tab w:val="left" w:pos="851" w:leader="none"/>
          <w:tab w:val="left" w:pos="1134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ab/>
        <w:t xml:space="preserve">9. Порядок подачи заявок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участниками конкурсного отбора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и требований, предъявляемых к форме и содержанию заявок,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подаваемых участниками конкурсного отбора.</w:t>
      </w:r>
      <w:r>
        <w:rPr>
          <w:b w:val="0"/>
          <w:bCs w:val="0"/>
        </w:rPr>
      </w:r>
    </w:p>
    <w:p>
      <w:pPr>
        <w:pStyle w:val="843"/>
        <w:ind w:left="0" w:firstLine="709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Участник конкурсного отбора для участия в конкурсном отборе подает заявку по форме согласно приложению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№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1 к настоящему объявлению, которая включает в себя, в том числе согласие на публикацию (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размещение) в информационно-телекоммуникационной сети «Интернет» информации об участнике конкурсного отбора, о подаваемой участником конкурсного отбора заявке, иной информации об участнике конкурсного отбора, связанной с соответствующим конкурсным отбором.</w:t>
      </w:r>
      <w:r>
        <w:rPr>
          <w:b w:val="0"/>
          <w:bCs w:val="0"/>
        </w:rPr>
      </w:r>
    </w:p>
    <w:p>
      <w:pPr>
        <w:pStyle w:val="843"/>
        <w:ind w:left="0" w:firstLine="709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Участник конкурсного отбора может подать не более одной заявки на участие в конкурсе.</w:t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Arial"/>
          <w:b w:val="0"/>
          <w:bCs w:val="0"/>
          <w:sz w:val="24"/>
          <w:szCs w:val="24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Заявка и прилагаемые к ней документы направляются 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организатору конкурса 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с сопроводительным письмом, которое составляется в 2 экземплярах, на бумажном носителе, заказной корреспонденцией с описью вложения с уведомлением о вручении, либо нарочно по адресу: 629008, г. Салехард, ул. Комсомольская, д. 16Г.</w:t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cs="Arial"/>
          <w:b w:val="0"/>
          <w:bCs w:val="0"/>
          <w:sz w:val="24"/>
          <w:szCs w:val="24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Заявки на участие в конкурсном отборе регистрируются в системе электронного документооборота в день их поступления. Днем подачи документов считается день их регистрации.</w:t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Arial"/>
          <w:b w:val="0"/>
          <w:bCs w:val="0"/>
          <w:sz w:val="24"/>
          <w:szCs w:val="24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При направлении документов заказной корреспонденцией с описью вложения с уведомлением о вручении, днем их подачи считается день отправки почтового отправления.</w:t>
      </w:r>
      <w:r>
        <w:rPr>
          <w:b w:val="0"/>
          <w:bCs w:val="0"/>
        </w:rPr>
      </w:r>
    </w:p>
    <w:p>
      <w:pPr>
        <w:jc w:val="both"/>
        <w:spacing w:after="0" w:line="240" w:lineRule="auto"/>
        <w:tabs>
          <w:tab w:val="left" w:pos="0" w:leader="none"/>
          <w:tab w:val="left" w:pos="709" w:leader="none"/>
        </w:tabs>
        <w:rPr>
          <w:b w:val="0"/>
          <w:bCs w:val="0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ab/>
        <w:t xml:space="preserve">10.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Порядок возврата заявок участников конкурсного отбора,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определяющего, в том числе основания для возврата заявок, а также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порядок отзыва, внесения изменений в заявки участников конкурсного отбора.</w:t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b w:val="0"/>
          <w:bCs w:val="0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Участник конкурсного отбора вправе отозвать заявку до истечения срока подачи заявок. Отозванная заявка возвращается участнику конкурсного отбора в течение 3 дней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с даты поступления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соответствующего ходатайства.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b w:val="0"/>
          <w:bCs w:val="0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Участник конкурсного отбора вправе до истечения срока подачи заявок направить в адрес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организатора конкурса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ходатайство о внесении изменений в заявку в письменной форме.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  <w:highlight w:val="none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В случае если участником конкурсного отбора подано более одной заявки на конкурс, принимается заявка, поданная первой по дате и времени. Последующие заявки подлежат возврату в течение 3 рабочих дней с даты их поступления.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  <w:highlight w:val="none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b w:val="0"/>
          <w:bCs w:val="0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  <w:highlight w:val="none"/>
        </w:rPr>
        <w:t xml:space="preserve">11.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Правила рассмотрения и оценки заявок участников конкурсного отбора.</w:t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Конкурсная комиссия в течение 5 календарных дней 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с даты окончания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 срока приема заявок рассматривает заявки участников конкурсного отбора на предмет их соответствия требованиям, установленным в объявлении о проведении конкурсного отбора, в том числе:</w:t>
      </w:r>
      <w:r>
        <w:rPr>
          <w:rFonts w:ascii="PT Astra Serif" w:hAnsi="PT Astra Serif" w:cs="Arial"/>
          <w:b w:val="0"/>
          <w:bCs w:val="0"/>
          <w:sz w:val="24"/>
          <w:szCs w:val="24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- соответствие участников конкурсного отбора требованиям, установленным </w:t>
      </w:r>
      <w:hyperlink r:id="rId15" w:tooltip="consultantplus://offline/ref=7E4976AB6B64053EC42C3B7A14F38BFB270418FACEA7AA2FF4DDF208333B7CC044A7D1B9BD1C6650D3EBBA79E7E12DAA022EF23A8BDE5B5BE800BB00Q1m0F" w:history="1">
        <w:r>
          <w:rPr>
            <w:rFonts w:ascii="PT Astra Serif" w:hAnsi="PT Astra Serif" w:cs="Arial"/>
            <w:b w:val="0"/>
            <w:bCs w:val="0"/>
            <w:sz w:val="24"/>
            <w:szCs w:val="24"/>
          </w:rPr>
          <w:t xml:space="preserve">пунктом 11</w:t>
        </w:r>
      </w:hyperlink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  Порядка;</w:t>
      </w:r>
      <w:r>
        <w:rPr>
          <w:rFonts w:ascii="PT Astra Serif" w:hAnsi="PT Astra Serif" w:cs="Arial"/>
          <w:b w:val="0"/>
          <w:bCs w:val="0"/>
          <w:sz w:val="24"/>
          <w:szCs w:val="24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- соответствие предоставленных участником конкурсного отбора документов перечню, установленному </w:t>
      </w:r>
      <w:hyperlink r:id="rId16" w:tooltip="consultantplus://offline/ref=7E4976AB6B64053EC42C3B7A14F38BFB270418FACEA7AA2FF4DDF208333B7CC044A7D1B9BD1C6650D3EBBA78E4E12DAA022EF23A8BDE5B5BE800BB00Q1m0F" w:history="1">
        <w:r>
          <w:rPr>
            <w:rFonts w:ascii="PT Astra Serif" w:hAnsi="PT Astra Serif" w:cs="Arial"/>
            <w:b w:val="0"/>
            <w:bCs w:val="0"/>
            <w:sz w:val="24"/>
            <w:szCs w:val="24"/>
          </w:rPr>
          <w:t xml:space="preserve">пунктами 12</w:t>
        </w:r>
      </w:hyperlink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, </w:t>
      </w:r>
      <w:hyperlink r:id="rId17" w:tooltip="consultantplus://offline/ref=7E4976AB6B64053EC42C3B7A14F38BFB270418FACEA7AA2FF4DDF208333B7CC044A7D1B9BD1C6650D3EBBA78E6E12DAA022EF23A8BDE5B5BE800BB00Q1m0F" w:history="1">
        <w:r>
          <w:rPr>
            <w:rFonts w:ascii="PT Astra Serif" w:hAnsi="PT Astra Serif" w:cs="Arial"/>
            <w:b w:val="0"/>
            <w:bCs w:val="0"/>
            <w:sz w:val="24"/>
            <w:szCs w:val="24"/>
          </w:rPr>
          <w:t xml:space="preserve">13</w:t>
        </w:r>
      </w:hyperlink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 Порядка.</w:t>
      </w:r>
      <w:r>
        <w:rPr>
          <w:rFonts w:ascii="PT Astra Serif" w:hAnsi="PT Astra Serif" w:cs="Arial"/>
          <w:b w:val="0"/>
          <w:bCs w:val="0"/>
          <w:sz w:val="24"/>
          <w:szCs w:val="24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Заявка на участие в конкурсном отборе отклоняется по следующим основаниям:</w:t>
      </w:r>
      <w:r>
        <w:rPr>
          <w:rFonts w:ascii="PT Astra Serif" w:hAnsi="PT Astra Serif" w:cs="Arial"/>
          <w:b w:val="0"/>
          <w:bCs w:val="0"/>
          <w:sz w:val="24"/>
          <w:szCs w:val="24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- несоответствие участника конкурсного отбора требованиям, установленным </w:t>
      </w:r>
      <w:hyperlink r:id="rId18" w:tooltip="consultantplus://offline/ref=7E4976AB6B64053EC42C3B7A14F38BFB270418FACEA7AA2FF4DDF208333B7CC044A7D1B9BD1C6650D3EBBA79E7E12DAA022EF23A8BDE5B5BE800BB00Q1m0F" w:history="1">
        <w:r>
          <w:rPr>
            <w:rFonts w:ascii="PT Astra Serif" w:hAnsi="PT Astra Serif" w:cs="Arial"/>
            <w:b w:val="0"/>
            <w:bCs w:val="0"/>
            <w:sz w:val="24"/>
            <w:szCs w:val="24"/>
          </w:rPr>
          <w:t xml:space="preserve">пунктом 11</w:t>
        </w:r>
      </w:hyperlink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 Порядка;</w:t>
      </w:r>
      <w:r>
        <w:rPr>
          <w:rFonts w:ascii="PT Astra Serif" w:hAnsi="PT Astra Serif" w:cs="Arial"/>
          <w:b w:val="0"/>
          <w:bCs w:val="0"/>
          <w:sz w:val="24"/>
          <w:szCs w:val="24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- несоответствие предоставленных участником конкурсного отбора документов перечню, установленному </w:t>
      </w:r>
      <w:hyperlink r:id="rId19" w:tooltip="consultantplus://offline/ref=7E4976AB6B64053EC42C3B7A14F38BFB270418FACEA7AA2FF4DDF208333B7CC044A7D1B9BD1C6650D3EBBA78E4E12DAA022EF23A8BDE5B5BE800BB00Q1m0F" w:history="1">
        <w:r>
          <w:rPr>
            <w:rFonts w:ascii="PT Astra Serif" w:hAnsi="PT Astra Serif" w:cs="Arial"/>
            <w:b w:val="0"/>
            <w:bCs w:val="0"/>
            <w:sz w:val="24"/>
            <w:szCs w:val="24"/>
          </w:rPr>
          <w:t xml:space="preserve">пунктами 12</w:t>
        </w:r>
      </w:hyperlink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, </w:t>
      </w:r>
      <w:hyperlink r:id="rId20" w:tooltip="consultantplus://offline/ref=7E4976AB6B64053EC42C3B7A14F38BFB270418FACEA7AA2FF4DDF208333B7CC044A7D1B9BD1C6650D3EBBA78E6E12DAA022EF23A8BDE5B5BE800BB00Q1m0F" w:history="1">
        <w:r>
          <w:rPr>
            <w:rFonts w:ascii="PT Astra Serif" w:hAnsi="PT Astra Serif" w:cs="Arial"/>
            <w:b w:val="0"/>
            <w:bCs w:val="0"/>
            <w:sz w:val="24"/>
            <w:szCs w:val="24"/>
          </w:rPr>
          <w:t xml:space="preserve">13</w:t>
        </w:r>
      </w:hyperlink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 Порядка;</w:t>
      </w:r>
      <w:r>
        <w:rPr>
          <w:rFonts w:ascii="PT Astra Serif" w:hAnsi="PT Astra Serif" w:cs="Arial"/>
          <w:b w:val="0"/>
          <w:bCs w:val="0"/>
          <w:sz w:val="24"/>
          <w:szCs w:val="24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- недостоверность предоставленной участником конкурсного отбора информации, в том числе информации о месте нахождения и адресе юридического лица;</w:t>
      </w:r>
      <w:r>
        <w:rPr>
          <w:rFonts w:ascii="PT Astra Serif" w:hAnsi="PT Astra Serif" w:cs="Arial"/>
          <w:b w:val="0"/>
          <w:bCs w:val="0"/>
          <w:sz w:val="24"/>
          <w:szCs w:val="24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- подача участником конкурсного отбора заявки после даты и (или) времени, определенных для подачи заявок.</w:t>
      </w:r>
      <w:r>
        <w:rPr>
          <w:rFonts w:ascii="PT Astra Serif" w:hAnsi="PT Astra Serif" w:cs="Arial"/>
          <w:b w:val="0"/>
          <w:bCs w:val="0"/>
          <w:sz w:val="24"/>
          <w:szCs w:val="24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По итогам рассмотрения заявок участников конкурсного отбора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 на предмет их соответствия требованиям, установленным в объявлении о проведении конкурсного отбора, конкурсная комиссия принимает решение о допуске или об отказе в допуске социально ориентированной некоммерческой организации к участию в конкурсном отборе.</w:t>
      </w:r>
      <w:r>
        <w:rPr>
          <w:rFonts w:ascii="PT Astra Serif" w:hAnsi="PT Astra Serif" w:cs="Arial"/>
          <w:b w:val="0"/>
          <w:bCs w:val="0"/>
          <w:sz w:val="24"/>
          <w:szCs w:val="24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Заявки, допущенные к участию в конкурсном отборе, оцениваются конкурсной комиссией по 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следующим критериям:</w:t>
      </w:r>
      <w:r>
        <w:rPr>
          <w:rFonts w:ascii="PT Astra Serif" w:hAnsi="PT Astra Serif" w:cs="Arial"/>
          <w:b w:val="0"/>
          <w:bCs w:val="0"/>
          <w:sz w:val="24"/>
          <w:szCs w:val="24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- эффективность программы реализации мероприятий в соотношении предполагаемых затрат с ожидаемым результатом;</w:t>
      </w:r>
      <w:r>
        <w:rPr>
          <w:rFonts w:ascii="PT Astra Serif" w:hAnsi="PT Astra Serif" w:cs="Arial"/>
          <w:b w:val="0"/>
          <w:bCs w:val="0"/>
          <w:sz w:val="24"/>
          <w:szCs w:val="24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- соответствие программы целям предоставления субсидии;</w:t>
      </w:r>
      <w:r>
        <w:rPr>
          <w:rFonts w:ascii="PT Astra Serif" w:hAnsi="PT Astra Serif" w:cs="Arial"/>
          <w:b w:val="0"/>
          <w:bCs w:val="0"/>
          <w:sz w:val="24"/>
          <w:szCs w:val="24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- уровень проработки программы;</w:t>
      </w:r>
      <w:r>
        <w:rPr>
          <w:rFonts w:ascii="PT Astra Serif" w:hAnsi="PT Astra Serif" w:cs="Arial"/>
          <w:b w:val="0"/>
          <w:bCs w:val="0"/>
          <w:sz w:val="24"/>
          <w:szCs w:val="24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- наличие опыта работы в области физической культуры и спорта.</w:t>
      </w:r>
      <w:r>
        <w:rPr>
          <w:rFonts w:ascii="PT Astra Serif" w:hAnsi="PT Astra Serif" w:cs="Arial"/>
          <w:b w:val="0"/>
          <w:bCs w:val="0"/>
          <w:sz w:val="24"/>
          <w:szCs w:val="24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Каждый критерий оценивается членом конкурсной комиссии по десятибалльной шка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ле. Для получения оценки (значения в баллах) по критерию для каждой заявки вычисляется средняя арифметическая оценка в баллах, присвоенных всеми членами конкурсной комиссии по каждому критерию. Количество баллов заявки суммируется по всем критериям оценки.</w:t>
      </w:r>
      <w:r>
        <w:rPr>
          <w:rFonts w:ascii="PT Astra Serif" w:hAnsi="PT Astra Serif" w:cs="Arial"/>
          <w:b w:val="0"/>
          <w:bCs w:val="0"/>
          <w:sz w:val="24"/>
          <w:szCs w:val="24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Arial"/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Конкурсная комиссия формирует итоговый рейтинг заявок. Итоговый рейтинг заявки вычисляется по сумме баллов заявки. Победителем конкурсного отбора признается участник, заявке которого присвоен самый высокий итоговый рейтинг. Заявке такого уча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стника конкурсного отбора присваивается первый порядковый номер. В случае равенства набранных баллов, победителем признается участник, подавший заявку на участие в конкурсном отборе ранее иных участников. Решение конкурсной комиссии оформляется протоколом.</w:t>
      </w:r>
      <w:r>
        <w:rPr>
          <w:rFonts w:ascii="PT Astra Serif" w:hAnsi="PT Astra Serif" w:cs="Arial"/>
          <w:b w:val="0"/>
          <w:bCs w:val="0"/>
          <w:sz w:val="24"/>
          <w:szCs w:val="24"/>
        </w:rPr>
      </w:r>
      <w:r>
        <w:rPr>
          <w:b w:val="0"/>
          <w:bCs w:val="0"/>
        </w:rPr>
      </w:r>
    </w:p>
    <w:p>
      <w:pPr>
        <w:ind w:left="0" w:right="0" w:firstLine="709"/>
        <w:jc w:val="both"/>
        <w:spacing w:after="0" w:line="240" w:lineRule="auto"/>
        <w:tabs>
          <w:tab w:val="left" w:pos="0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12. Порядок предоставления участникам конкурсного отбора разъяснений положений объявления о проведении конкурсного отбора.</w:t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Участник конкурсного отбора вправе не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позднее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чем за 5 дней до дня окончания срока подачи заявок, указанного в настоящем объявлении, направить в письменной форме в адрес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организатора конкурса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запрос о разъяснении положений документации конкурсного отбора.</w:t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Ответ на запрос о разъяснении положений документации конкурсного отбора предоставляется участнику конкурсного отбора в течение 2 дней со дня поступления запроса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организатору конкурса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. Разъяснение положений документации конкурсного отбора не должно изменять ее суть.</w:t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Нарушение установленного срока направления запроса о разъяснении положений документации конкурсного отбора является основанием для оставления запроса без ответа.</w:t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PT Astra Serif" w:hAnsi="PT Astra Serif" w:cs="Arial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1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3.</w:t>
      </w:r>
      <w:r>
        <w:rPr>
          <w:rFonts w:ascii="PT Astra Serif" w:hAnsi="PT Astra Serif"/>
          <w:b w:val="0"/>
          <w:bCs w:val="0"/>
          <w:sz w:val="24"/>
          <w:szCs w:val="24"/>
        </w:rPr>
        <w:t xml:space="preserve"> </w:t>
      </w:r>
      <w:r>
        <w:rPr>
          <w:rFonts w:ascii="PT Astra Serif" w:hAnsi="PT Astra Serif"/>
          <w:b w:val="0"/>
          <w:bCs w:val="0"/>
          <w:sz w:val="24"/>
          <w:szCs w:val="24"/>
        </w:rPr>
        <w:t xml:space="preserve">Ср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ок, в течение которого победитель конкурсного отбора должен подписать согла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шение о предоставлении субсидии. Условия признания победителя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уклонившимся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от заключения соглашения.</w:t>
      </w:r>
      <w:r>
        <w:rPr>
          <w:rFonts w:ascii="PT Astra Serif" w:hAnsi="PT Astra Serif" w:cs="Arial"/>
          <w:b w:val="0"/>
          <w:bCs w:val="0"/>
          <w:sz w:val="24"/>
          <w:szCs w:val="24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993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Победитель конкурсного отбора должен подписать соглашение и направить его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организатору конкурса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в течение 3 рабочих дней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с даты поступления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проекта соглашения. Победитель конкурсного отбора признается уклонившимся от заключения соглашения в случае нарушения вышеуказанного срока.</w:t>
      </w:r>
      <w:r>
        <w:rPr>
          <w:b w:val="0"/>
          <w:bCs w:val="0"/>
        </w:rPr>
      </w:r>
    </w:p>
    <w:p>
      <w:pPr>
        <w:ind w:left="0" w:right="0" w:firstLine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14. Дата размещения результатов конкурсного отбора на официальном сайте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организатора конкурса.</w:t>
      </w:r>
      <w:r>
        <w:rPr>
          <w:b w:val="0"/>
          <w:bCs w:val="0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В течение трех рабочих дней со дня заседания конкурсной комиссии на едином портале и на официальном сайте главного распорядителя бюджетных средств размещается информация о результатах рассмотрения заявок, в том числе:</w:t>
      </w:r>
      <w:r>
        <w:rPr>
          <w:b w:val="0"/>
          <w:bCs w:val="0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- дата, время и место проведения оценки заявок участников конкурсного отбора;</w:t>
      </w:r>
      <w:r>
        <w:rPr>
          <w:b w:val="0"/>
          <w:bCs w:val="0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- информация об участниках конкурсного отбора, заявки которых были рассмотрены;</w:t>
      </w:r>
      <w:r>
        <w:rPr>
          <w:b w:val="0"/>
          <w:bCs w:val="0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- информация об участниках конкурсного отбора, заявки которых были отклонены, с указанием причин их отклонения, в том числе положений объявления о проведении конкурсного отбора, которым не соответствуют такие заявки;</w:t>
      </w:r>
      <w:r>
        <w:rPr>
          <w:b w:val="0"/>
          <w:bCs w:val="0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- последовательность оценки заявок участников конкурсного отбора, присвоенные заявкам значения по каждому из предусмотренных критериев, принятое на основании результатов оценки заявок решение о присвоении заявкам порядковых номеров;</w:t>
      </w:r>
      <w:r>
        <w:rPr>
          <w:b w:val="0"/>
          <w:bCs w:val="0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- наименование получателя субсидии, с которым заключается соглашение и размер предоставляемой ему субсидии.</w:t>
      </w:r>
      <w:r>
        <w:rPr>
          <w:b w:val="0"/>
          <w:bCs w:val="0"/>
        </w:rPr>
      </w:r>
    </w:p>
    <w:p>
      <w:pPr>
        <w:ind w:left="0" w:right="0" w:firstLine="540"/>
        <w:jc w:val="both"/>
        <w:spacing w:before="0" w:after="0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0" w:right="0" w:firstLine="540"/>
        <w:jc w:val="both"/>
        <w:spacing w:before="0" w:after="0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0" w:right="0" w:firstLine="54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ind w:left="0" w:right="0" w:firstLine="540"/>
        <w:jc w:val="right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PT Astra Serif" w:hAnsi="PT Astra Serif" w:cs="Arial"/>
          <w:sz w:val="20"/>
          <w:szCs w:val="20"/>
        </w:rPr>
        <w:t xml:space="preserve">П</w:t>
      </w:r>
      <w:r>
        <w:rPr>
          <w:rFonts w:ascii="PT Astra Serif" w:hAnsi="PT Astra Serif" w:cs="Arial"/>
          <w:sz w:val="20"/>
          <w:szCs w:val="20"/>
        </w:rPr>
        <w:t xml:space="preserve">риложение№1 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jc w:val="center"/>
        <w:spacing w:after="0" w:line="240" w:lineRule="auto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  <w:highlight w:val="none"/>
        </w:rPr>
      </w:r>
      <w:r>
        <w:rPr>
          <w:rFonts w:ascii="PT Astra Serif" w:hAnsi="PT Astra Serif" w:cs="Arial"/>
          <w:sz w:val="20"/>
          <w:szCs w:val="20"/>
          <w:highlight w:val="none"/>
        </w:rPr>
      </w:r>
      <w:r/>
    </w:p>
    <w:p>
      <w:pPr>
        <w:jc w:val="center"/>
        <w:spacing w:after="0" w:line="240" w:lineRule="auto"/>
        <w:rPr>
          <w:rFonts w:ascii="PT Astra Serif" w:hAnsi="PT Astra Serif" w:cs="Arial"/>
          <w:sz w:val="20"/>
          <w:szCs w:val="20"/>
          <w:highlight w:val="none"/>
        </w:rPr>
      </w:pPr>
      <w:r>
        <w:rPr>
          <w:rFonts w:ascii="PT Astra Serif" w:hAnsi="PT Astra Serif" w:cs="Arial"/>
          <w:sz w:val="20"/>
          <w:szCs w:val="20"/>
        </w:rPr>
        <w:t xml:space="preserve">Форма заявки</w:t>
      </w:r>
      <w:r/>
    </w:p>
    <w:p>
      <w:pPr>
        <w:ind w:firstLine="540"/>
        <w:jc w:val="both"/>
        <w:spacing w:after="0" w:line="240" w:lineRule="auto"/>
        <w:rPr>
          <w:rFonts w:ascii="PT Astra Serif" w:hAnsi="PT Astra Serif" w:cs="Arial"/>
          <w:sz w:val="20"/>
          <w:szCs w:val="20"/>
        </w:rPr>
        <w:outlineLvl w:val="0"/>
      </w:pPr>
      <w:r>
        <w:rPr>
          <w:rFonts w:ascii="PT Astra Serif" w:hAnsi="PT Astra Serif" w:cs="Arial"/>
          <w:sz w:val="20"/>
          <w:szCs w:val="20"/>
        </w:rPr>
      </w:r>
      <w:r/>
    </w:p>
    <w:p>
      <w:pPr>
        <w:jc w:val="center"/>
        <w:spacing w:after="0" w:line="240" w:lineRule="auto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  <w:t xml:space="preserve">I. Титульный лист</w:t>
      </w:r>
      <w:r/>
    </w:p>
    <w:p>
      <w:pPr>
        <w:jc w:val="center"/>
        <w:spacing w:after="0" w:line="240" w:lineRule="auto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82"/>
        <w:gridCol w:w="5942"/>
        <w:gridCol w:w="364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Название организации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2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Название конкурса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2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Период реализации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4.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2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Общий бюджет программы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5.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Ф.И.О. бухгалтера, ответственного за представление финансового отчета по реализации субсидии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6.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Ф.И.О. ответственного за представление содержательного отчета по реализации программы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7.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Получение субсидии за последние 2 года с указанием названия программы, наименования мероприятия (конкурса), года финансирования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8.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Краткая информация о наличии материально-технических и кадровых ресурсов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9.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Краткая информация об опыте работы в сфере физической культуры и спорта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</w:tbl>
    <w:p>
      <w:pPr>
        <w:jc w:val="center"/>
        <w:spacing w:after="0" w:line="240" w:lineRule="auto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</w:r>
      <w:r/>
    </w:p>
    <w:p>
      <w:pPr>
        <w:jc w:val="center"/>
        <w:spacing w:after="0" w:line="240" w:lineRule="auto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  <w:t xml:space="preserve">II. Информация о социально </w:t>
      </w:r>
      <w:r>
        <w:rPr>
          <w:rFonts w:ascii="PT Astra Serif" w:hAnsi="PT Astra Serif" w:cs="Arial"/>
          <w:sz w:val="20"/>
          <w:szCs w:val="20"/>
        </w:rPr>
        <w:t xml:space="preserve">ориентированной</w:t>
      </w:r>
      <w:r>
        <w:rPr>
          <w:rFonts w:ascii="PT Astra Serif" w:hAnsi="PT Astra Serif" w:cs="Arial"/>
          <w:sz w:val="20"/>
          <w:szCs w:val="20"/>
        </w:rPr>
        <w:t xml:space="preserve"> некоммерческой</w:t>
      </w:r>
      <w:r/>
    </w:p>
    <w:p>
      <w:pPr>
        <w:jc w:val="center"/>
        <w:spacing w:after="0" w:line="240" w:lineRule="auto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  <w:t xml:space="preserve">организации</w:t>
      </w:r>
      <w:r/>
    </w:p>
    <w:p>
      <w:pPr>
        <w:ind w:firstLine="540"/>
        <w:jc w:val="both"/>
        <w:spacing w:after="0" w:line="240" w:lineRule="auto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75"/>
        <w:gridCol w:w="6123"/>
        <w:gridCol w:w="367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Адрес (юридический, фактический)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3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Телефон/факс (с указанием кода)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Адрес электронной почты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4.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Адрес сайта (при наличии)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5.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Ф.И.О. руководителя организации, телефон, адрес электронной почты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6.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Ф.И.О. бухгалтера организации, телефон, адрес электронной почты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</w:tbl>
    <w:p>
      <w:pPr>
        <w:ind w:firstLine="540"/>
        <w:jc w:val="both"/>
        <w:spacing w:after="0" w:line="240" w:lineRule="auto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  <w:highlight w:val="none"/>
        </w:rPr>
      </w:r>
      <w:r>
        <w:rPr>
          <w:rFonts w:ascii="PT Astra Serif" w:hAnsi="PT Astra Serif" w:cs="Arial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PT Astra Serif" w:hAnsi="PT Astra Serif" w:cs="Arial"/>
          <w:sz w:val="20"/>
          <w:szCs w:val="20"/>
          <w:highlight w:val="none"/>
        </w:rPr>
      </w:pPr>
      <w:r>
        <w:rPr>
          <w:rFonts w:ascii="PT Astra Serif" w:hAnsi="PT Astra Serif" w:cs="Arial"/>
          <w:sz w:val="20"/>
          <w:szCs w:val="20"/>
        </w:rPr>
        <w:t xml:space="preserve">Дата подачи заявки _________________</w:t>
      </w:r>
      <w:r/>
    </w:p>
    <w:p>
      <w:pPr>
        <w:ind w:left="0" w:right="0" w:firstLine="0"/>
        <w:jc w:val="both"/>
        <w:spacing w:before="200" w:after="0" w:line="240" w:lineRule="auto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  <w:t xml:space="preserve">Настоящим подтверждаю достоверность представленной информации.</w:t>
      </w:r>
      <w:r/>
    </w:p>
    <w:p>
      <w:pPr>
        <w:ind w:left="0" w:right="0" w:firstLine="0"/>
        <w:jc w:val="both"/>
        <w:spacing w:before="200" w:after="0" w:line="240" w:lineRule="auto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  <w:t xml:space="preserve">Настоящим соглашаюсь на публикацию (размещение) в информационно-телекоммуникационной сети "Интернет" информации, предусмотренной настоящей заявкой и иной информации, связанной с конкурсным отбором.</w:t>
      </w:r>
      <w:r/>
    </w:p>
    <w:p>
      <w:pPr>
        <w:ind w:left="0" w:right="0" w:firstLine="0"/>
        <w:jc w:val="both"/>
        <w:spacing w:after="0" w:line="240" w:lineRule="auto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  <w:t xml:space="preserve">Подпись руководителя организации _____________/_________________/</w:t>
      </w:r>
      <w:r/>
    </w:p>
    <w:p>
      <w:pPr>
        <w:ind w:firstLine="540"/>
        <w:jc w:val="both"/>
        <w:spacing w:after="0" w:line="240" w:lineRule="auto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</w:r>
      <w:r/>
    </w:p>
    <w:p>
      <w:pPr>
        <w:jc w:val="center"/>
        <w:spacing w:after="0" w:line="240" w:lineRule="auto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  <w:t xml:space="preserve">                      МП</w:t>
      </w:r>
      <w:r/>
    </w:p>
    <w:p>
      <w:pPr>
        <w:spacing w:after="0" w:line="240" w:lineRule="auto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</w:r>
      <w:r/>
    </w:p>
    <w:p>
      <w:pPr>
        <w:jc w:val="right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</w:r>
      <w:r>
        <w:rPr>
          <w:rFonts w:ascii="PT Astra Serif" w:hAnsi="PT Astra Serif" w:cs="Arial"/>
          <w:sz w:val="20"/>
          <w:szCs w:val="20"/>
        </w:rPr>
      </w:r>
      <w:r/>
    </w:p>
    <w:p>
      <w:pPr>
        <w:jc w:val="right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</w:r>
      <w:r>
        <w:rPr>
          <w:rFonts w:ascii="PT Astra Serif" w:hAnsi="PT Astra Serif" w:cs="Arial"/>
          <w:sz w:val="20"/>
          <w:szCs w:val="20"/>
        </w:rPr>
      </w:r>
      <w:r/>
    </w:p>
    <w:p>
      <w:pPr>
        <w:jc w:val="right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  <w:t xml:space="preserve">Приложение№2</w:t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ФОРМА ПРОГРАММЫ РЕАЛИЗАЦИИ МЕРОПРИЯТИЙ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1. Введение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Описание изменений, которые произойдут в результате реализации мероприятий программы в сфере физической культуры и спорта в муниципальном образовании город Салехард.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Во введении целесообразно отразить основную идею, цель и задачи программы.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Краткое изложение основных теоретических положений, которые лежат в основе программы.</w:t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2. Основная часть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Основная часть может состоять из двух и более разделов.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первом разделе более подробно описывается основная идея программы, с указанием проблем, решению которых будет способствовать реализация программы.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 основании поставленных во введении задач раскрывается содержание, технологии реализации идеи программы.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следующих разделах основной части отражается механизм и поэтапный план реализации программы: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последовательность и взаимозависимость мероприятий программы с приведением периодов их осуществления и количественных показателей эффективности;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используемые и необходимые ресурсы (кадры, помещения, оборудование);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описание позитивных изменений, которые произойдут в результате реализации программы;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риски (условия возникновения, методы устранения).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конце каждого раздела основной части необходимо сформулировать выводы и обобщения о том, что реализация программы позволит получить более высокие результаты.</w:t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3. Заключение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заключении формулируются: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выводы и оценка продуктивности программы на основе самоанализа результатов деятельности;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значение применения программы для развития системы физической культуры и спорта в муниципальном образовании.</w:t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4. Приложения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приложения в</w:t>
      </w:r>
      <w:r>
        <w:rPr>
          <w:rFonts w:ascii="PT Astra Serif" w:hAnsi="PT Astra Serif"/>
        </w:rPr>
        <w:t xml:space="preserve">ыносится дополнительный материал: таблицы, диаграммы, фото, видео и другие материалы, на усмотрение участника конкурсного отбора. Приложения структурируются, озаглавливаются и нумеруются в соответствии с последовательностью их упоминания в основном тексте.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sectPr>
      <w:footnotePr/>
      <w:endnotePr/>
      <w:type w:val="nextPage"/>
      <w:pgSz w:w="11906" w:h="16838" w:orient="portrait"/>
      <w:pgMar w:top="709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 w:ascii="PT Astra Serif" w:hAnsi="PT Astra Serif"/>
        <w:b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/>
        <w:b w:val="0"/>
        <w:i w:val="0"/>
        <w:strike w:val="0"/>
        <w:color w:val="000000"/>
        <w:spacing w:val="0"/>
        <w:position w:val="0"/>
        <w:sz w:val="26"/>
        <w:u w:val="none"/>
        <w:vertAlign w:val="baseline"/>
      </w:rPr>
    </w:lvl>
    <w:lvl w:ilvl="1">
      <w:start w:val="1"/>
      <w:numFmt w:val="decimal"/>
      <w:isLgl w:val="false"/>
      <w:suff w:val="tab"/>
      <w:lvlText w:val="%2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%3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%4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%5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%6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%7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%8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%9"/>
      <w:lvlJc w:val="left"/>
      <w:pPr/>
      <w:rPr>
        <w:rFonts w:cs="Times New Roman"/>
      </w:rPr>
    </w:lvl>
  </w:abstractNum>
  <w:abstractNum w:abstractNumId="4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Liberation Serif" w:hAnsi="Liberation Serif" w:eastAsia="Liberation Serif" w:cs="Liberation Serif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10"/>
  </w:num>
  <w:num w:numId="8">
    <w:abstractNumId w:val="7"/>
  </w:num>
  <w:num w:numId="9">
    <w:abstractNumId w:val="9"/>
  </w:num>
  <w:num w:numId="10">
    <w:abstractNumId w:val="4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8"/>
    <w:next w:val="838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39"/>
    <w:link w:val="681"/>
    <w:uiPriority w:val="10"/>
    <w:rPr>
      <w:sz w:val="48"/>
      <w:szCs w:val="48"/>
    </w:rPr>
  </w:style>
  <w:style w:type="paragraph" w:styleId="683">
    <w:name w:val="Subtitle"/>
    <w:basedOn w:val="838"/>
    <w:next w:val="838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9"/>
    <w:link w:val="683"/>
    <w:uiPriority w:val="11"/>
    <w:rPr>
      <w:sz w:val="24"/>
      <w:szCs w:val="24"/>
    </w:rPr>
  </w:style>
  <w:style w:type="paragraph" w:styleId="685">
    <w:name w:val="Quote"/>
    <w:basedOn w:val="838"/>
    <w:next w:val="838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8"/>
    <w:next w:val="838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8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basedOn w:val="839"/>
    <w:link w:val="689"/>
    <w:uiPriority w:val="99"/>
  </w:style>
  <w:style w:type="paragraph" w:styleId="691">
    <w:name w:val="Footer"/>
    <w:basedOn w:val="838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39"/>
    <w:link w:val="691"/>
    <w:uiPriority w:val="99"/>
  </w:style>
  <w:style w:type="paragraph" w:styleId="693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693"/>
    <w:link w:val="691"/>
    <w:uiPriority w:val="99"/>
  </w:style>
  <w:style w:type="table" w:styleId="695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character" w:styleId="842">
    <w:name w:val="Hyperlink"/>
    <w:basedOn w:val="839"/>
    <w:uiPriority w:val="99"/>
    <w:unhideWhenUsed/>
    <w:rPr>
      <w:color w:val="0000ff" w:themeColor="hyperlink"/>
      <w:u w:val="single"/>
    </w:rPr>
  </w:style>
  <w:style w:type="paragraph" w:styleId="843">
    <w:name w:val="List Paragraph"/>
    <w:basedOn w:val="838"/>
    <w:uiPriority w:val="34"/>
    <w:qFormat/>
    <w:pPr>
      <w:contextualSpacing/>
      <w:ind w:left="720"/>
    </w:pPr>
  </w:style>
  <w:style w:type="paragraph" w:styleId="844">
    <w:name w:val="Balloon Text"/>
    <w:basedOn w:val="838"/>
    <w:link w:val="84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5" w:customStyle="1">
    <w:name w:val="Текст выноски Знак"/>
    <w:basedOn w:val="839"/>
    <w:link w:val="84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sport@slh.yanao.ru" TargetMode="External"/><Relationship Id="rId10" Type="http://schemas.openxmlformats.org/officeDocument/2006/relationships/hyperlink" Target="consultantplus://offline/ref=7E085B64A7FB8FC3EE1DD8CFD74B2765F17C33C29439D51D7148217730DD6B7A3845CF3A05C07155AEJ7G" TargetMode="External"/><Relationship Id="rId11" Type="http://schemas.openxmlformats.org/officeDocument/2006/relationships/hyperlink" Target="http://www.salekhardsport.ru/" TargetMode="External"/><Relationship Id="rId12" Type="http://schemas.openxmlformats.org/officeDocument/2006/relationships/hyperlink" Target="consultantplus://offline/ref=DE269527A231BFAE24F150CB0C13AA4D1B755EB54E0E10D4B031739735FC339313383D5B27586CFB703C2C6B5A3789C9CEABE809FDnDZAG" TargetMode="External"/><Relationship Id="rId13" Type="http://schemas.openxmlformats.org/officeDocument/2006/relationships/hyperlink" Target="consultantplus://offline/ref=737E2AEE3CDA425E2003DC91895F4CA1EFC7F4435B2EF84B1017581681CE9D030BF3370668BF0AF99C22A94B87AA5DF20F591FFD2E85CE7505174EA9MAqFE" TargetMode="External"/><Relationship Id="rId14" Type="http://schemas.openxmlformats.org/officeDocument/2006/relationships/hyperlink" Target="consultantplus://offline/ref=737E2AEE3CDA425E2003C29C9F331BACEAC4A34F5329FA1B4C4A5E41DE9E9B564BB331532BFB05FF9429FF18C6F404A24E1213FC3599CF77M1qAE" TargetMode="External"/><Relationship Id="rId15" Type="http://schemas.openxmlformats.org/officeDocument/2006/relationships/hyperlink" Target="consultantplus://offline/ref=7E4976AB6B64053EC42C3B7A14F38BFB270418FACEA7AA2FF4DDF208333B7CC044A7D1B9BD1C6650D3EBBA79E7E12DAA022EF23A8BDE5B5BE800BB00Q1m0F" TargetMode="External"/><Relationship Id="rId16" Type="http://schemas.openxmlformats.org/officeDocument/2006/relationships/hyperlink" Target="consultantplus://offline/ref=7E4976AB6B64053EC42C3B7A14F38BFB270418FACEA7AA2FF4DDF208333B7CC044A7D1B9BD1C6650D3EBBA78E4E12DAA022EF23A8BDE5B5BE800BB00Q1m0F" TargetMode="External"/><Relationship Id="rId17" Type="http://schemas.openxmlformats.org/officeDocument/2006/relationships/hyperlink" Target="consultantplus://offline/ref=7E4976AB6B64053EC42C3B7A14F38BFB270418FACEA7AA2FF4DDF208333B7CC044A7D1B9BD1C6650D3EBBA78E6E12DAA022EF23A8BDE5B5BE800BB00Q1m0F" TargetMode="External"/><Relationship Id="rId18" Type="http://schemas.openxmlformats.org/officeDocument/2006/relationships/hyperlink" Target="consultantplus://offline/ref=7E4976AB6B64053EC42C3B7A14F38BFB270418FACEA7AA2FF4DDF208333B7CC044A7D1B9BD1C6650D3EBBA79E7E12DAA022EF23A8BDE5B5BE800BB00Q1m0F" TargetMode="External"/><Relationship Id="rId19" Type="http://schemas.openxmlformats.org/officeDocument/2006/relationships/hyperlink" Target="consultantplus://offline/ref=7E4976AB6B64053EC42C3B7A14F38BFB270418FACEA7AA2FF4DDF208333B7CC044A7D1B9BD1C6650D3EBBA78E4E12DAA022EF23A8BDE5B5BE800BB00Q1m0F" TargetMode="External"/><Relationship Id="rId20" Type="http://schemas.openxmlformats.org/officeDocument/2006/relationships/hyperlink" Target="consultantplus://offline/ref=7E4976AB6B64053EC42C3B7A14F38BFB270418FACEA7AA2FF4DDF208333B7CC044A7D1B9BD1C6650D3EBBA78E6E12DAA022EF23A8BDE5B5BE800BB00Q1m0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Щетинина Тамара</dc:creator>
  <cp:revision>13</cp:revision>
  <dcterms:created xsi:type="dcterms:W3CDTF">2021-10-15T06:40:00Z</dcterms:created>
  <dcterms:modified xsi:type="dcterms:W3CDTF">2023-09-07T11:15:54Z</dcterms:modified>
</cp:coreProperties>
</file>