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 w:rsidP="00670D74">
      <w:pPr>
        <w:pStyle w:val="af5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C0324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C03249">
              <w:rPr>
                <w:color w:val="FF0000"/>
                <w:sz w:val="24"/>
              </w:rPr>
              <w:t>08 мая 2024 года приказ № 55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 w:rsidP="00670D7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Спортивная </w:t>
            </w:r>
            <w:r w:rsidR="00670D74"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аэроб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«ЦКиС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Ниджата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FE770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P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</w:p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«ЦКиС «Геолог»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</w:t>
            </w:r>
            <w:r w:rsidR="00327E6B">
              <w:rPr>
                <w:rFonts w:ascii="Liberation Sans" w:eastAsia="Liberation Sans" w:hAnsi="Liberation Sans" w:cs="Liberation Sans"/>
                <w:sz w:val="24"/>
              </w:rPr>
              <w:t>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51C3C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Фестиваль по фиджитал-футболу «Дети-будущее Ямала» среди детей 2012-2013 г.р. и 2014-2015г.р., посвященный празднику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«День защиты детей»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Спортивная площадка по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МАУ «ЦФКиС, МОО «Федерация футбола»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lastRenderedPageBreak/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351C3C" w:rsidTr="00CC0293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II  Арктическая научно-практическая конференция «Психолого-педагогическая подготовка в спорте: теория и практика реализации»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Департамент по ФКиС ЯНАО, УФКиС Администрации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  <w:bookmarkStart w:id="0" w:name="_GoBack"/>
      <w:bookmarkEnd w:id="0"/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49" w:rsidRDefault="00C03249">
      <w:r>
        <w:separator/>
      </w:r>
    </w:p>
  </w:endnote>
  <w:endnote w:type="continuationSeparator" w:id="0">
    <w:p w:rsidR="00C03249" w:rsidRDefault="00C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  <w:p w:rsidR="00C03249" w:rsidRDefault="00C03249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C03249" w:rsidRDefault="00C03249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49" w:rsidRDefault="00C03249">
      <w:r>
        <w:separator/>
      </w:r>
    </w:p>
  </w:footnote>
  <w:footnote w:type="continuationSeparator" w:id="0">
    <w:p w:rsidR="00C03249" w:rsidRDefault="00C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51C3C"/>
    <w:rsid w:val="003760DB"/>
    <w:rsid w:val="003C02DD"/>
    <w:rsid w:val="00417ACE"/>
    <w:rsid w:val="00525569"/>
    <w:rsid w:val="00597BBE"/>
    <w:rsid w:val="006605C2"/>
    <w:rsid w:val="00670D74"/>
    <w:rsid w:val="00726094"/>
    <w:rsid w:val="00726D45"/>
    <w:rsid w:val="0077793F"/>
    <w:rsid w:val="008B1FC8"/>
    <w:rsid w:val="00926553"/>
    <w:rsid w:val="00947EC9"/>
    <w:rsid w:val="00A012A2"/>
    <w:rsid w:val="00B1495E"/>
    <w:rsid w:val="00C03249"/>
    <w:rsid w:val="00C12BB0"/>
    <w:rsid w:val="00DE3CA3"/>
    <w:rsid w:val="00E154C8"/>
    <w:rsid w:val="00E45BAC"/>
    <w:rsid w:val="00F44B42"/>
    <w:rsid w:val="00F53CD0"/>
    <w:rsid w:val="00F7617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30</Pages>
  <Words>6536</Words>
  <Characters>37260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333</cp:revision>
  <dcterms:created xsi:type="dcterms:W3CDTF">2019-01-10T10:31:00Z</dcterms:created>
  <dcterms:modified xsi:type="dcterms:W3CDTF">2024-05-08T04:37:00Z</dcterms:modified>
  <dc:language>ru-RU</dc:language>
</cp:coreProperties>
</file>